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Казанское царство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5E13A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Казань-Свияжск-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</w:p>
          <w:p w:rsidR="00A620A4" w:rsidRPr="00A620A4" w:rsidRDefault="00C70963" w:rsidP="0033253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июня 2019 г. ; 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 w:rsidR="0033253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августа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62E30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62E30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16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8A71D0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</w:pPr>
            <w:r w:rsidRPr="005E13A2"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  <w:t>Прибытие в</w:t>
            </w:r>
            <w:r w:rsidRPr="005E13A2">
              <w:rPr>
                <w:rStyle w:val="a9"/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 г. Казань.</w:t>
            </w:r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 </w:t>
            </w:r>
            <w:r w:rsidRPr="005E13A2"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  <w:t>Расселение.</w:t>
            </w:r>
          </w:p>
          <w:p w:rsid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 w:cstheme="min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br/>
            </w:r>
            <w:r w:rsidRPr="005E13A2">
              <w:rPr>
                <w:rStyle w:val="ab"/>
                <w:rFonts w:asciiTheme="majorHAnsi" w:hAnsiTheme="majorHAnsi" w:cstheme="minorHAnsi"/>
                <w:b/>
                <w:i w:val="0"/>
                <w:color w:val="0D0D0D" w:themeColor="text1" w:themeTint="F2"/>
                <w:shd w:val="clear" w:color="auto" w:fill="FAFAFA"/>
              </w:rPr>
              <w:t>Завтрак в гостинице.</w:t>
            </w:r>
          </w:p>
          <w:p w:rsid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</w:pPr>
            <w:r w:rsidRPr="005E13A2">
              <w:rPr>
                <w:rFonts w:asciiTheme="majorHAnsi" w:hAnsiTheme="majorHAnsi" w:cstheme="minorHAnsi"/>
                <w:color w:val="0D0D0D" w:themeColor="text1" w:themeTint="F2"/>
              </w:rPr>
              <w:br/>
            </w:r>
            <w:r w:rsidRPr="005E13A2">
              <w:rPr>
                <w:rStyle w:val="a9"/>
                <w:rFonts w:asciiTheme="majorHAnsi" w:hAnsiTheme="majorHAnsi" w:cstheme="minorHAnsi"/>
                <w:color w:val="17365D" w:themeColor="text2" w:themeShade="BF"/>
                <w:shd w:val="clear" w:color="auto" w:fill="FAFAFA"/>
              </w:rPr>
              <w:t xml:space="preserve">Обзорная </w:t>
            </w:r>
            <w:proofErr w:type="spellStart"/>
            <w:r w:rsidRPr="005E13A2">
              <w:rPr>
                <w:rStyle w:val="a9"/>
                <w:rFonts w:asciiTheme="majorHAnsi" w:hAnsiTheme="majorHAnsi" w:cstheme="minorHAnsi"/>
                <w:color w:val="17365D" w:themeColor="text2" w:themeShade="BF"/>
                <w:shd w:val="clear" w:color="auto" w:fill="FAFAFA"/>
              </w:rPr>
              <w:t>автобусно</w:t>
            </w:r>
            <w:proofErr w:type="spellEnd"/>
            <w:r w:rsidRPr="005E13A2">
              <w:rPr>
                <w:rStyle w:val="a9"/>
                <w:rFonts w:asciiTheme="majorHAnsi" w:hAnsiTheme="majorHAnsi" w:cstheme="minorHAnsi"/>
                <w:color w:val="17365D" w:themeColor="text2" w:themeShade="BF"/>
                <w:shd w:val="clear" w:color="auto" w:fill="FAFAFA"/>
              </w:rPr>
              <w:t>-пешеходная экскурсия по городу: </w:t>
            </w:r>
            <w:proofErr w:type="spellStart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Старотатарская</w:t>
            </w:r>
            <w:proofErr w:type="spellEnd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 xml:space="preserve"> слобода, озеро Кабан, мечеть </w:t>
            </w:r>
            <w:proofErr w:type="spellStart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Марджани</w:t>
            </w:r>
            <w:proofErr w:type="spellEnd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 xml:space="preserve">, Лавка Сувениров, Черное Озеро, площадь Свободы, Петропавловский собор, построенный в 1723 – 1726 </w:t>
            </w:r>
            <w:proofErr w:type="spellStart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г.г</w:t>
            </w:r>
            <w:proofErr w:type="spellEnd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 xml:space="preserve">. в память о пребывании в Казани Петра </w:t>
            </w:r>
            <w:proofErr w:type="spellStart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I.Крестовоздвиженская</w:t>
            </w:r>
            <w:proofErr w:type="spellEnd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 xml:space="preserve"> церковь и Чудотворная Казанская икона Божьей Матери, возвращенная из Ватикана в Россию по завещанию Папы Римского. Казанский университет, площадь Свободы, городская Ратуша, ул. Кремлевская, парк 1000 – </w:t>
            </w:r>
            <w:proofErr w:type="spellStart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>летия</w:t>
            </w:r>
            <w:proofErr w:type="spellEnd"/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t xml:space="preserve"> Казани. Продолжительность экскурсии 4 часа.</w:t>
            </w:r>
          </w:p>
          <w:p w:rsid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 w:cstheme="min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5E13A2">
              <w:rPr>
                <w:rFonts w:asciiTheme="majorHAnsi" w:hAnsiTheme="majorHAnsi" w:cstheme="minorHAnsi"/>
                <w:color w:val="0D0D0D" w:themeColor="text1" w:themeTint="F2"/>
                <w:shd w:val="clear" w:color="auto" w:fill="FAFAFA"/>
              </w:rPr>
              <w:br/>
            </w:r>
            <w:r w:rsidRPr="005E13A2">
              <w:rPr>
                <w:rStyle w:val="ab"/>
                <w:rFonts w:asciiTheme="majorHAnsi" w:hAnsiTheme="majorHAnsi" w:cstheme="minorHAnsi"/>
                <w:b/>
                <w:i w:val="0"/>
                <w:color w:val="0D0D0D" w:themeColor="text1" w:themeTint="F2"/>
                <w:shd w:val="clear" w:color="auto" w:fill="FAFAFA"/>
              </w:rPr>
              <w:t>Обед в кафе.</w:t>
            </w:r>
          </w:p>
          <w:p w:rsid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</w:pPr>
            <w:r w:rsidRPr="005E13A2"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  <w:br/>
              <w:t>Возвращение в гостиницу.</w:t>
            </w:r>
          </w:p>
          <w:p w:rsidR="00702312" w:rsidRPr="005E13A2" w:rsidRDefault="005E13A2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theme="minorHAnsi"/>
                <w:b/>
                <w:i/>
                <w:color w:val="0D0D0D" w:themeColor="text1" w:themeTint="F2"/>
                <w:lang w:eastAsia="ru-RU"/>
              </w:rPr>
            </w:pPr>
            <w:r w:rsidRPr="005E13A2">
              <w:rPr>
                <w:rFonts w:asciiTheme="majorHAnsi" w:hAnsiTheme="majorHAnsi" w:cstheme="minorHAnsi"/>
                <w:b/>
                <w:color w:val="0D0D0D" w:themeColor="text1" w:themeTint="F2"/>
                <w:shd w:val="clear" w:color="auto" w:fill="FAFAFA"/>
              </w:rPr>
              <w:br/>
              <w:t>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952" w:rsidRPr="00DE7952" w:rsidRDefault="00DE7952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DE7952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  </w:t>
            </w:r>
          </w:p>
          <w:p w:rsidR="00DE7952" w:rsidRDefault="00DE7952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i/>
                <w:color w:val="0D0D0D" w:themeColor="text1" w:themeTint="F2"/>
                <w:shd w:val="clear" w:color="auto" w:fill="FAFAFA"/>
              </w:rPr>
              <w:t>      </w:t>
            </w:r>
            <w:r w:rsidRPr="00DE7952">
              <w:rPr>
                <w:rFonts w:asciiTheme="majorHAnsi" w:hAnsiTheme="majorHAnsi"/>
                <w:color w:val="17365D" w:themeColor="text2" w:themeShade="BF"/>
              </w:rPr>
              <w:br/>
            </w:r>
            <w:r w:rsidRPr="00DE7952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Экскурсия: Остров-град Свияжск на "Круглой горе"</w:t>
            </w:r>
            <w:r w:rsidRPr="00DE7952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, </w:t>
            </w:r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которую облюбовал Иван Грозный зимой 1550 года, и весной 1551 г. выстроил здесь город, ставший центром православия Поволжья, сохранил уникальные памятники истории и архитектуры. В окружении природного ландшафта являет собой уникальный образец единения природы и общества, сказочно чарующей красоты. Не было в России уголка, где бы на 1 кв. м. приходилось столько церквей и монастырей. Обзор Церкви </w:t>
            </w:r>
            <w:proofErr w:type="spellStart"/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Живоначальной</w:t>
            </w:r>
            <w:proofErr w:type="spellEnd"/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Троицы, Церкви во имя Сергия Радонежского, Собора "Всех Скорбящих Радости" (посещение), Собора Успения Пресвятой Богородицы, Церкви во имя Николы Чудотворца, Церкви во имя святых царей Константина и Елены.</w:t>
            </w:r>
          </w:p>
          <w:p w:rsidR="00DE7952" w:rsidRPr="00DE7952" w:rsidRDefault="00DE7952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</w:p>
          <w:p w:rsidR="00DE7952" w:rsidRDefault="00DE7952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Посещение </w:t>
            </w:r>
            <w:proofErr w:type="spellStart"/>
            <w:r w:rsidRPr="00DE7952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Раифского</w:t>
            </w:r>
            <w:proofErr w:type="spellEnd"/>
            <w:r w:rsidRPr="00DE7952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Богородского монастыря</w:t>
            </w:r>
            <w:r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C7791F" w:rsidRPr="00DE7952" w:rsidRDefault="00DE7952" w:rsidP="0067443A">
            <w:pPr>
              <w:shd w:val="clear" w:color="auto" w:fill="FAFAFA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lang w:eastAsia="ru-RU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Вечернее возвращение в г. Казань.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952" w:rsidRDefault="00DE7952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</w:rPr>
            </w:pPr>
            <w:r w:rsidRPr="00DE7952">
              <w:rPr>
                <w:rStyle w:val="ab"/>
                <w:rFonts w:asciiTheme="majorHAnsi" w:hAnsiTheme="majorHAnsi"/>
                <w:i w:val="0"/>
                <w:color w:val="0D0D0D" w:themeColor="text1" w:themeTint="F2"/>
                <w:shd w:val="clear" w:color="auto" w:fill="FAFAFA"/>
              </w:rPr>
              <w:lastRenderedPageBreak/>
              <w:t>Завтрак.</w:t>
            </w: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lastRenderedPageBreak/>
              <w:t>Освобождение номеров.</w:t>
            </w:r>
          </w:p>
          <w:p w:rsidR="00DE7952" w:rsidRDefault="00DE7952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Посещение </w:t>
            </w:r>
            <w:r w:rsidRPr="00DE7952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Национального музея республики Татарстан.</w:t>
            </w:r>
          </w:p>
          <w:p w:rsidR="00DE7952" w:rsidRPr="00DE7952" w:rsidRDefault="00DE7952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Пешеходная экскурсия по </w:t>
            </w:r>
            <w:r w:rsidRPr="00DE7952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Казанскому Кремлю с посещением Мечети </w:t>
            </w:r>
            <w:proofErr w:type="spellStart"/>
            <w:r w:rsidRPr="00DE7952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Кул</w:t>
            </w:r>
            <w:proofErr w:type="spellEnd"/>
            <w:r w:rsidRPr="00DE7952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 Шариф.</w:t>
            </w:r>
          </w:p>
          <w:p w:rsidR="00DE7952" w:rsidRDefault="00DE7952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b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Style w:val="ab"/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Обед с</w:t>
            </w:r>
            <w:r w:rsidRPr="00DE7952">
              <w:rPr>
                <w:rStyle w:val="ab"/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proofErr w:type="spellStart"/>
            <w:r w:rsidRPr="00DE7952">
              <w:rPr>
                <w:rStyle w:val="a9"/>
                <w:rFonts w:asciiTheme="majorHAnsi" w:hAnsiTheme="majorHAnsi"/>
                <w:i/>
                <w:iCs/>
                <w:color w:val="0D0D0D" w:themeColor="text1" w:themeTint="F2"/>
                <w:shd w:val="clear" w:color="auto" w:fill="FAFAFA"/>
              </w:rPr>
              <w:t>интерактивом</w:t>
            </w:r>
            <w:proofErr w:type="spellEnd"/>
            <w:r w:rsidRPr="00DE7952">
              <w:rPr>
                <w:rStyle w:val="ab"/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136ABA" w:rsidRPr="00DE7952" w:rsidRDefault="00DE7952" w:rsidP="00DE7952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bCs/>
                <w:i/>
                <w:iCs/>
                <w:color w:val="0D0D0D" w:themeColor="text1" w:themeTint="F2"/>
                <w:shd w:val="clear" w:color="auto" w:fill="FAFAFA"/>
              </w:rPr>
            </w:pPr>
            <w:r w:rsidRPr="00DE7952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E7952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 домой.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1D40A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70963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C62E3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6</w:t>
      </w:r>
      <w:r w:rsidR="00C70963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руб./чел.</w:t>
      </w:r>
    </w:p>
    <w:p w:rsidR="00B07578" w:rsidRPr="00B07578" w:rsidRDefault="00B0757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Скидки детям до 16 лет: 300 руб.</w:t>
      </w:r>
    </w:p>
    <w:p w:rsidR="001D40A8" w:rsidRPr="00B07578" w:rsidRDefault="00A620A4" w:rsidP="00B07578">
      <w:p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проживание в отеле 3 дня/2ночи, 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в двухместных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номера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х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с удобствами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в гостинице «Татарстан»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,</w:t>
      </w:r>
      <w:r w:rsidR="00042D73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3 завтрака, 3 обеда,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транспортное обслуживание</w:t>
      </w:r>
      <w:r w:rsidR="00A35F15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по программе, экскурсионное обслуживание</w:t>
      </w:r>
      <w:r w:rsidR="00DE7952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.</w:t>
      </w:r>
      <w:bookmarkStart w:id="0" w:name="_GoBack"/>
      <w:bookmarkEnd w:id="0"/>
    </w:p>
    <w:p w:rsidR="00B07578" w:rsidRPr="00B0757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B07578" w:rsidRDefault="00B07578" w:rsidP="00B0757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Компания оставляет за собой право менять экскурсии, не изменяя общего объема тура.</w:t>
      </w:r>
      <w:r w:rsidRPr="00B07578">
        <w:rPr>
          <w:rFonts w:asciiTheme="majorHAnsi" w:hAnsiTheme="majorHAnsi"/>
          <w:i/>
          <w:iCs/>
          <w:color w:val="0D0D0D" w:themeColor="text1" w:themeTint="F2"/>
          <w:shd w:val="clear" w:color="auto" w:fill="FAFAFA"/>
        </w:rPr>
        <w:br/>
      </w: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минивэн</w:t>
      </w:r>
      <w:proofErr w:type="spellEnd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, автомобиль и другое (в зависим</w:t>
      </w:r>
      <w:r w:rsidR="00ED4A10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ости от количества пассажиров).</w:t>
      </w:r>
    </w:p>
    <w:sectPr w:rsidR="008B1D6A" w:rsidRPr="00B0757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52" w:rsidRDefault="00DE7952" w:rsidP="00FD68EA">
      <w:pPr>
        <w:spacing w:after="0" w:line="240" w:lineRule="auto"/>
      </w:pPr>
      <w:r>
        <w:separator/>
      </w:r>
    </w:p>
  </w:endnote>
  <w:endnote w:type="continuationSeparator" w:id="0">
    <w:p w:rsidR="00DE7952" w:rsidRDefault="00DE7952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52" w:rsidRDefault="00DE7952" w:rsidP="00FD68EA">
      <w:pPr>
        <w:spacing w:after="0" w:line="240" w:lineRule="auto"/>
      </w:pPr>
      <w:r>
        <w:separator/>
      </w:r>
    </w:p>
  </w:footnote>
  <w:footnote w:type="continuationSeparator" w:id="0">
    <w:p w:rsidR="00DE7952" w:rsidRDefault="00DE7952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7952" w:rsidRDefault="00DE795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E7952" w:rsidRDefault="00DE795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DE7952" w:rsidRDefault="00DE795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DE7952" w:rsidRPr="00FD68EA" w:rsidRDefault="00DE7952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DE7952" w:rsidRPr="00FD68EA" w:rsidRDefault="00DE7952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DE7952" w:rsidRPr="00FD68EA" w:rsidRDefault="00DE7952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E7952" w:rsidRPr="00FD68EA" w:rsidRDefault="00DE7952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DE7952" w:rsidRPr="00FD68EA" w:rsidRDefault="00DE7952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E7952" w:rsidRPr="00FD68EA" w:rsidRDefault="00DE7952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DE7952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DE7952" w:rsidRPr="00FD68EA" w:rsidRDefault="00DE7952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DE7952" w:rsidRPr="00FD68EA" w:rsidRDefault="00DE7952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DE7952" w:rsidRPr="00FD68EA" w:rsidRDefault="00DE795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DE7952" w:rsidRPr="00FD68EA" w:rsidRDefault="00DE7952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DE7952" w:rsidRPr="00FD68EA" w:rsidRDefault="00DE795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DE7952" w:rsidRPr="00FD68EA" w:rsidRDefault="00DE7952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52" w:rsidRDefault="00DE7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E0B29"/>
    <w:rsid w:val="005A004A"/>
    <w:rsid w:val="005A6ED1"/>
    <w:rsid w:val="005E13A2"/>
    <w:rsid w:val="005F6D4B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62E30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4854-EDAC-409F-B186-AFDD9292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2019-02-07T15:31:00Z</dcterms:created>
  <dcterms:modified xsi:type="dcterms:W3CDTF">2019-02-07T15:31:00Z</dcterms:modified>
</cp:coreProperties>
</file>