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7"/>
        <w:gridCol w:w="10039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844B2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Новый год в Северной столице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844B2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Обзорная экскурсия по Санкт-Петербургу, Казанский собор, Петропавловская крепость, вечерняя экскурсия по Санкт-Петербургу, Рождественская ярмарка, музей Петропавловская акватория*, </w:t>
            </w:r>
            <w:r w:rsidR="00A664F1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Эрмитаж, Петергоф, Большой Петергофский дворец, собор святых Петра и Павла</w:t>
            </w:r>
          </w:p>
          <w:p w:rsidR="00A620A4" w:rsidRPr="00A620A4" w:rsidRDefault="00A664F1" w:rsidP="000732A0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792E0F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15.00 – Тула </w:t>
            </w:r>
            <w:r w:rsidRPr="00A664F1"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  <w:t>(автовокзал)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17.00 - Калуга </w:t>
            </w: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(пл. Победы, памятник Воинам-афганцам)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18.00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- </w:t>
            </w: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Малоярославец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 (МВЦ </w:t>
            </w:r>
            <w:proofErr w:type="spellStart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Маклино</w:t>
            </w:r>
            <w:proofErr w:type="spellEnd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18.10 - Обнинск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(Автовокзал)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18.30 – Наро-Фоминск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(Пост ГАИ)                          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20.00 - Москва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 xml:space="preserve"> (ст. м. </w:t>
            </w:r>
            <w:proofErr w:type="spellStart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Саларьево</w:t>
            </w:r>
            <w:proofErr w:type="spellEnd"/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21.00 - 21.30 - Зеленоград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(на трассе напротив Макдоналдса)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21.30 – 22.30 - Солнечногорск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22.00 – 23.00 - Клин 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(Макдоналдс у трассы)</w:t>
            </w:r>
          </w:p>
          <w:p w:rsid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23.30-00.00 – Тверь</w:t>
            </w:r>
            <w:r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 (</w:t>
            </w:r>
            <w:r w:rsidRPr="00A664F1">
              <w:rPr>
                <w:rFonts w:asciiTheme="majorHAnsi" w:eastAsia="Times New Roman" w:hAnsiTheme="majorHAnsi" w:cs="Arial"/>
                <w:i/>
                <w:iCs/>
                <w:color w:val="0D0D0D" w:themeColor="text1" w:themeTint="F2"/>
                <w:lang w:eastAsia="ru-RU"/>
              </w:rPr>
              <w:t>Советская площадь)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i/>
                <w:iCs/>
                <w:color w:val="0D0D0D" w:themeColor="text1" w:themeTint="F2"/>
                <w:lang w:eastAsia="ru-RU"/>
              </w:rPr>
              <w:t>Ночной переезд.</w:t>
            </w:r>
          </w:p>
          <w:p w:rsidR="007369AA" w:rsidRPr="00776014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4F1" w:rsidRPr="00A664F1" w:rsidRDefault="00A664F1" w:rsidP="00A664F1">
            <w:pPr>
              <w:pStyle w:val="aa"/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</w:pPr>
            <w:r w:rsidRPr="00A664F1"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  <w:t>Прибытие в Петербург.</w:t>
            </w:r>
          </w:p>
          <w:p w:rsidR="00A664F1" w:rsidRPr="00A664F1" w:rsidRDefault="00A664F1" w:rsidP="00A664F1">
            <w:pPr>
              <w:pStyle w:val="aa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A664F1">
              <w:rPr>
                <w:rFonts w:asciiTheme="majorHAnsi" w:hAnsiTheme="majorHAnsi" w:cs="Arial"/>
                <w:b/>
                <w:bCs/>
                <w:i/>
                <w:iCs/>
                <w:color w:val="0D0D0D" w:themeColor="text1" w:themeTint="F2"/>
                <w:sz w:val="22"/>
                <w:szCs w:val="22"/>
              </w:rPr>
              <w:t>Завтрак.</w:t>
            </w:r>
          </w:p>
          <w:p w:rsidR="00A664F1" w:rsidRPr="00A664F1" w:rsidRDefault="00A664F1" w:rsidP="00A664F1">
            <w:pPr>
              <w:pStyle w:val="aa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Обзорная экскурсия </w:t>
            </w:r>
            <w:r w:rsidRPr="00A664F1">
              <w:rPr>
                <w:rFonts w:asciiTheme="majorHAnsi" w:hAnsiTheme="majorHAnsi" w:cs="Arial"/>
                <w:b/>
                <w:bCs/>
                <w:color w:val="17365D" w:themeColor="text2" w:themeShade="BF"/>
                <w:sz w:val="22"/>
                <w:szCs w:val="22"/>
              </w:rPr>
              <w:t>«Новогодний Петербург. Листая страницы истории…».</w:t>
            </w:r>
            <w:r w:rsidRPr="00A664F1">
              <w:rPr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Знакомство с историей возникновения и развития города, с традицией празднования Нового года (Невский проспект, Стрелка Васильевского острова, осмотр архитектурных ансамблей центральных площадей, невские набережные и мосты, Смольный собор).</w:t>
            </w:r>
          </w:p>
          <w:p w:rsidR="00A664F1" w:rsidRPr="00A664F1" w:rsidRDefault="00A664F1" w:rsidP="00A664F1">
            <w:pPr>
              <w:pStyle w:val="aa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Посещение</w:t>
            </w:r>
            <w:r w:rsidRPr="00A664F1">
              <w:rPr>
                <w:rStyle w:val="a9"/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 </w:t>
            </w:r>
            <w:r w:rsidRPr="00A664F1">
              <w:rPr>
                <w:rStyle w:val="a9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Казанского собора</w:t>
            </w:r>
            <w:r w:rsidRPr="00A664F1">
              <w:rPr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(главный кафедральный собора города, освященный в честь Казанской иконы Божьей Матери - </w:t>
            </w:r>
            <w:r w:rsidRPr="00A664F1">
              <w:rPr>
                <w:rStyle w:val="a9"/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-</w:t>
            </w: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один из крупнейших храмов Санкт-Петербурга, выполненный в стиле ампир. Собор построен на Невском проспекте в 1801—1811 годах архитектором А. Н. Воронихиным.</w:t>
            </w:r>
            <w:r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Фасады храма выходят на Невский проспект и канал Грибоедова. Это одно из  самых больших сооружений в Северной столице. Интерьер храма напоминает огромный дворцовый зал. Ряды высоких гранитных колонн объединяют пространство зала. Свет, льющийся из окон, создает впечатление, что купол парит на огромной высоте.</w:t>
            </w:r>
          </w:p>
          <w:p w:rsidR="00A664F1" w:rsidRPr="00A664F1" w:rsidRDefault="00A664F1" w:rsidP="00A664F1">
            <w:pPr>
              <w:pStyle w:val="aa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Экскурсия по территории </w:t>
            </w:r>
            <w:r w:rsidRPr="00A664F1">
              <w:rPr>
                <w:rStyle w:val="a9"/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Петропавловской крепости</w:t>
            </w:r>
            <w:r w:rsidRPr="00A664F1">
              <w:rPr>
                <w:rFonts w:asciiTheme="majorHAnsi" w:hAnsiTheme="majorHAnsi" w:cs="Arial"/>
                <w:color w:val="17365D" w:themeColor="text2" w:themeShade="BF"/>
                <w:sz w:val="22"/>
                <w:szCs w:val="22"/>
              </w:rPr>
              <w:t> </w:t>
            </w: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(без посещения платных объектов) старейшей постройки Петербурга. Победа над Швецией в Северной войне потребовала от Петра I срочного обустройства отвоеванных территорий. Пустынный остров в устье Невы приглянулся новоиспеченному императору, когда он выбирал место для будущей крепости, ядра новой столице.</w:t>
            </w:r>
            <w:r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Укрепления возводились согласно последнему слову фортификационной науки того времени и стали бы серьезным препятствием для врага.</w:t>
            </w:r>
            <w:r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 </w:t>
            </w: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Но судьба распорядилась инач</w:t>
            </w:r>
            <w:proofErr w:type="gramStart"/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е-</w:t>
            </w:r>
            <w:proofErr w:type="gramEnd"/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 крепость ни разу не подверглась</w:t>
            </w:r>
            <w:r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 нападению, но всегда служила тю</w:t>
            </w:r>
            <w:r w:rsidRPr="00A664F1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рьмой для государственных преступник.</w:t>
            </w:r>
          </w:p>
          <w:p w:rsidR="00A664F1" w:rsidRPr="00A664F1" w:rsidRDefault="00A664F1" w:rsidP="00A664F1">
            <w:pPr>
              <w:pStyle w:val="aa"/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</w:pPr>
            <w:r w:rsidRPr="00A664F1"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  <w:t>Обед в кафе города.</w:t>
            </w:r>
          </w:p>
          <w:p w:rsidR="00A664F1" w:rsidRPr="00A664F1" w:rsidRDefault="00A664F1" w:rsidP="00A664F1">
            <w:pPr>
              <w:pStyle w:val="aa"/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</w:pPr>
            <w:r w:rsidRPr="00A664F1"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  <w:lastRenderedPageBreak/>
              <w:t>Размещение.</w:t>
            </w:r>
          </w:p>
          <w:p w:rsidR="00A664F1" w:rsidRPr="00A664F1" w:rsidRDefault="00A664F1" w:rsidP="00A664F1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Дополнительно:</w:t>
            </w:r>
          </w:p>
          <w:p w:rsidR="00A664F1" w:rsidRPr="00A664F1" w:rsidRDefault="00A664F1" w:rsidP="00A664F1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1. </w:t>
            </w:r>
            <w:hyperlink r:id="rId9" w:history="1">
              <w:r w:rsidRPr="00A664F1">
                <w:rPr>
                  <w:rFonts w:asciiTheme="majorHAnsi" w:eastAsia="Times New Roman" w:hAnsiTheme="majorHAnsi" w:cs="Arial"/>
                  <w:b/>
                  <w:bCs/>
                  <w:i/>
                  <w:color w:val="17365D" w:themeColor="text2" w:themeShade="BF"/>
                  <w:u w:val="single"/>
                  <w:lang w:eastAsia="ru-RU"/>
                </w:rPr>
                <w:t>Новогодний банкет </w:t>
              </w:r>
            </w:hyperlink>
            <w:hyperlink r:id="rId10" w:history="1">
              <w:r w:rsidRPr="00A664F1">
                <w:rPr>
                  <w:rFonts w:asciiTheme="majorHAnsi" w:eastAsia="Times New Roman" w:hAnsiTheme="majorHAnsi" w:cs="Arial"/>
                  <w:b/>
                  <w:bCs/>
                  <w:i/>
                  <w:color w:val="17365D" w:themeColor="text2" w:themeShade="BF"/>
                  <w:u w:val="single"/>
                  <w:lang w:eastAsia="ru-RU"/>
                </w:rPr>
                <w:t>в ресторане " Ассамблея" </w:t>
              </w:r>
            </w:hyperlink>
            <w:r w:rsidRPr="00A664F1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 гостиницы "Октябрьская". Стоимость 7500 руб./чел., детям скидки не предусмотрены (оплачивается в офисе).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lang w:eastAsia="ru-RU"/>
              </w:rPr>
              <w:t>В программе: Дед Мороз и Снегурочка, артисты оригинального жанра, дискотека, музыкальный ансамбль.</w:t>
            </w:r>
          </w:p>
          <w:p w:rsidR="00A664F1" w:rsidRPr="00A664F1" w:rsidRDefault="00A664F1" w:rsidP="00A664F1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2. </w:t>
            </w:r>
            <w:r w:rsidRPr="00A664F1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Участие в</w:t>
            </w:r>
            <w:r w:rsidRPr="00A664F1">
              <w:rPr>
                <w:rFonts w:asciiTheme="majorHAnsi" w:eastAsia="Times New Roman" w:hAnsiTheme="majorHAnsi" w:cs="Arial"/>
                <w:b/>
                <w:bCs/>
                <w:i/>
                <w:color w:val="17365D" w:themeColor="text2" w:themeShade="BF"/>
                <w:lang w:eastAsia="ru-RU"/>
              </w:rPr>
              <w:t> Новогоднем гулянии на Дворцовой площади</w:t>
            </w:r>
          </w:p>
          <w:p w:rsidR="00A664F1" w:rsidRPr="00A664F1" w:rsidRDefault="00A664F1" w:rsidP="00A664F1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i/>
                <w:color w:val="17365D" w:themeColor="text2" w:themeShade="BF"/>
                <w:lang w:eastAsia="ru-RU"/>
              </w:rPr>
              <w:t>Зимние праздники в Санкт-Петербурге проходят ярко, с оживленными ярмарками и народными гуляньями. В новогоднюю ночь небо над Дворцовой площадью вспыхивает всеми цветами радугами — огни фейерверков и лазерные шоу потрясают воображение, а Невский проспект превращается в пешеходную улицу — тысячи жителей и гостей Северной столицы стремятся сюда, чтобы поздравить друг друга с праздником и увидеть незабываемое зрелище.</w:t>
            </w:r>
          </w:p>
          <w:p w:rsidR="00A664F1" w:rsidRPr="00A664F1" w:rsidRDefault="00A664F1" w:rsidP="00A664F1">
            <w:pPr>
              <w:pStyle w:val="aa"/>
              <w:rPr>
                <w:rFonts w:asciiTheme="majorHAnsi" w:hAnsiTheme="majorHAnsi" w:cs="Arial"/>
                <w:i/>
                <w:color w:val="17365D" w:themeColor="text2" w:themeShade="BF"/>
                <w:sz w:val="22"/>
                <w:szCs w:val="22"/>
              </w:rPr>
            </w:pPr>
            <w:r w:rsidRPr="00A664F1">
              <w:rPr>
                <w:rFonts w:asciiTheme="majorHAnsi" w:hAnsiTheme="majorHAnsi"/>
                <w:i/>
                <w:color w:val="17365D" w:themeColor="text2" w:themeShade="BF"/>
                <w:sz w:val="22"/>
                <w:szCs w:val="22"/>
                <w:shd w:val="clear" w:color="auto" w:fill="F3F3F3"/>
              </w:rPr>
              <w:t>Ориентировочная стоимость - 500 руб./чел. (оплачивается на месте).</w:t>
            </w:r>
          </w:p>
          <w:tbl>
            <w:tblPr>
              <w:tblW w:w="12735" w:type="dxa"/>
              <w:tblCellSpacing w:w="0" w:type="dxa"/>
              <w:tblBorders>
                <w:top w:val="single" w:sz="6" w:space="0" w:color="F3F3F4"/>
                <w:left w:val="single" w:sz="6" w:space="0" w:color="F3F3F4"/>
                <w:bottom w:val="single" w:sz="6" w:space="0" w:color="F3F3F4"/>
                <w:right w:val="single" w:sz="6" w:space="0" w:color="F3F3F4"/>
              </w:tblBorders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35"/>
            </w:tblGrid>
            <w:tr w:rsidR="00A664F1" w:rsidRPr="00A664F1" w:rsidTr="00A664F1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3F3F3"/>
                    <w:left w:val="single" w:sz="6" w:space="0" w:color="F3F3F3"/>
                    <w:bottom w:val="single" w:sz="6" w:space="0" w:color="F3F3F3"/>
                    <w:right w:val="single" w:sz="6" w:space="0" w:color="F3F3F3"/>
                  </w:tcBorders>
                  <w:shd w:val="clear" w:color="auto" w:fill="F3F3F3"/>
                  <w:vAlign w:val="center"/>
                </w:tcPr>
                <w:p w:rsidR="00A664F1" w:rsidRPr="00A664F1" w:rsidRDefault="00A664F1" w:rsidP="00A664F1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lang w:eastAsia="ru-RU"/>
                    </w:rPr>
                  </w:pPr>
                </w:p>
              </w:tc>
            </w:tr>
          </w:tbl>
          <w:p w:rsidR="00A620A4" w:rsidRPr="00A664F1" w:rsidRDefault="00A620A4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4F1" w:rsidRPr="00A664F1" w:rsidRDefault="00A664F1" w:rsidP="00A664F1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Поздний завтрак.</w:t>
            </w:r>
          </w:p>
          <w:p w:rsidR="00A664F1" w:rsidRPr="00A664F1" w:rsidRDefault="00A664F1" w:rsidP="00A664F1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Вечерняя автобусная экскурсия «Огни новогоднего Петербурга»</w:t>
            </w:r>
            <w:r w:rsidRPr="00A664F1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позволит увидеть совершенно особый Петербург, почувствовать неповторимое очарование главных проспектов, дворцов, набережных и мостов Петербурга, залитых светом ночной подсветки.</w:t>
            </w:r>
          </w:p>
          <w:p w:rsidR="00A664F1" w:rsidRPr="00A664F1" w:rsidRDefault="00A664F1" w:rsidP="00A664F1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Посещение ежегодной </w:t>
            </w:r>
            <w:r w:rsidRPr="00A664F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Рождественской ярмарки. 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Рождественские ярмарки 2018 в Санкт-Петербурге — самое ожидаемое событие Нового года. Здесь можно увидеть и приобрести массу диковинных вещиц, а также подружиться с хорошими людьми. Часть выставок проходит под открытым небом, а часть функционирует в закрытых помещениях, поэтому вы сможете сначала подышать свежим воздухом, а потом насладиться ароматным чаем с баранками уже в теплом зале.</w:t>
            </w:r>
          </w:p>
          <w:p w:rsidR="00A664F1" w:rsidRDefault="00A664F1" w:rsidP="00A664F1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u w:val="single"/>
                <w:lang w:eastAsia="ru-RU"/>
              </w:rPr>
              <w:t>Дополнительно по желанию</w:t>
            </w:r>
            <w:r w:rsidRPr="00A664F1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: экскурсия в интерактивный музей «Петровская акватория». </w:t>
            </w: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Вы увидите макет  петровского Петербурга с существующими ныне и утраченными достопримечательностями. Движущиеся фигурки, повозки и кареты, плывущие по воде корабли, создадут сказочную атмосферу 18 века.  Окончание экскурсии в музее. </w:t>
            </w:r>
          </w:p>
          <w:p w:rsidR="00A620A4" w:rsidRPr="00A664F1" w:rsidRDefault="00A664F1" w:rsidP="00776014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A664F1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</w:t>
            </w:r>
            <w:r w:rsidRPr="00A664F1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Свободное время.</w:t>
            </w:r>
          </w:p>
        </w:tc>
      </w:tr>
      <w:tr w:rsidR="00FC768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06A" w:rsidRPr="0092406A" w:rsidRDefault="0092406A" w:rsidP="0092406A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2406A">
              <w:rPr>
                <w:rFonts w:asciiTheme="majorHAnsi" w:eastAsia="Times New Roman" w:hAnsiTheme="majorHAnsi" w:cs="Arial"/>
                <w:b/>
                <w:bCs/>
                <w:i/>
                <w:iCs/>
                <w:color w:val="0D0D0D" w:themeColor="text1" w:themeTint="F2"/>
                <w:lang w:eastAsia="ru-RU"/>
              </w:rPr>
              <w:t>Завтрак. </w:t>
            </w:r>
            <w:r w:rsidRPr="0092406A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Освобождение номеров.</w:t>
            </w:r>
          </w:p>
          <w:p w:rsidR="0092406A" w:rsidRPr="0092406A" w:rsidRDefault="0092406A" w:rsidP="0092406A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</w:pPr>
            <w:r w:rsidRPr="009240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ЛАЙТ:</w:t>
            </w:r>
            <w:r w:rsidRPr="0092406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 СВОБОДНОЕ ВРЕМЯ В ЦЕНТРЕ ГОРОДА</w:t>
            </w:r>
          </w:p>
          <w:p w:rsidR="0092406A" w:rsidRDefault="0092406A" w:rsidP="0092406A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</w:pPr>
            <w:r w:rsidRPr="009240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СТАНДАРТ:</w:t>
            </w:r>
            <w:r w:rsidRPr="0092406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 </w:t>
            </w:r>
          </w:p>
          <w:p w:rsidR="0092406A" w:rsidRPr="0092406A" w:rsidRDefault="0092406A" w:rsidP="0092406A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в </w:t>
            </w:r>
            <w:r w:rsidRPr="009240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Государственный Эрмитаж </w:t>
            </w: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- крупнейший музей мира, легендарный музей Петербурга, который стремятся увидеть все, кто приезжает в город на Неве. Музей занимает комплекс из 5 зданий, главное из них – Зимний дворец. Эрмитаж удивительным образом собрал в себе художественные сокровища и исторические памятники Востока и Запада от эпохи палеолита и до наших дней. Постоянные выставки занимают 120 залов. Вы познакомитесь с историей создания музея, увидите парадные залы Зимнего дворца, Павильонный зал Малого Эрмитажа и </w:t>
            </w: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lastRenderedPageBreak/>
              <w:t>знаменитые часы Павлин, выдающиеся произведения живописи, скульптуры и прикладного искусства, созданные великими мастерами всех эпох и народов.</w:t>
            </w:r>
          </w:p>
          <w:p w:rsidR="0092406A" w:rsidRPr="0092406A" w:rsidRDefault="0092406A" w:rsidP="0092406A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  <w:r w:rsidRPr="0092406A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lang w:eastAsia="ru-RU"/>
              </w:rPr>
              <w:t>Обед</w:t>
            </w: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</w:t>
            </w:r>
            <w:r w:rsidRPr="0092406A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в кафе города (порционный)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 xml:space="preserve"> </w:t>
            </w:r>
            <w:r w:rsidRPr="0092406A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-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 xml:space="preserve"> </w:t>
            </w:r>
            <w:r w:rsidRPr="0092406A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только для программы СТАНДАРТ</w:t>
            </w:r>
          </w:p>
          <w:p w:rsidR="0092406A" w:rsidRPr="0092406A" w:rsidRDefault="0092406A" w:rsidP="0092406A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Отъезд на загородную экскурсию. Трассовая экскурсия </w:t>
            </w:r>
            <w:r w:rsidRPr="009240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«Дорога в императорскую резиденцию»</w:t>
            </w: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. Вы увидите Константиновский дворец (государственная резиденция президента России в Санкт-Петербурге и Дворец Конгрессов), Дворец Петра I в Стрельне, дворцовые усадьбы Знаменка, Михайловка, Александрия.</w:t>
            </w:r>
          </w:p>
          <w:p w:rsidR="0092406A" w:rsidRPr="0092406A" w:rsidRDefault="0092406A" w:rsidP="0092406A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</w:pP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Экскурсия в </w:t>
            </w:r>
            <w:r w:rsidRPr="009240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Петергоф</w:t>
            </w:r>
            <w:r w:rsidRPr="0092406A">
              <w:rPr>
                <w:rFonts w:asciiTheme="majorHAnsi" w:eastAsia="Times New Roman" w:hAnsiTheme="majorHAnsi" w:cs="Arial"/>
                <w:color w:val="17365D" w:themeColor="text2" w:themeShade="BF"/>
                <w:lang w:eastAsia="ru-RU"/>
              </w:rPr>
              <w:t>.</w:t>
            </w: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 xml:space="preserve"> Экскурсия в </w:t>
            </w:r>
            <w:r w:rsidRPr="009240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Большой дворец</w:t>
            </w: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 "Дворца резные позолоты" (один из лучших дворцов пригорода Петербург, популярность которого возрастает в зимний период). Посещение </w:t>
            </w:r>
            <w:r w:rsidRPr="0092406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lang w:eastAsia="ru-RU"/>
              </w:rPr>
              <w:t>собора святых Петра и Павла</w:t>
            </w:r>
            <w:r w:rsidRPr="0092406A">
              <w:rPr>
                <w:rFonts w:asciiTheme="majorHAnsi" w:eastAsia="Times New Roman" w:hAnsiTheme="majorHAnsi" w:cs="Arial"/>
                <w:color w:val="0D0D0D" w:themeColor="text1" w:themeTint="F2"/>
                <w:lang w:eastAsia="ru-RU"/>
              </w:rPr>
              <w:t>, отпраздновавшего в 2005 году свое столетие.</w:t>
            </w:r>
          </w:p>
          <w:p w:rsidR="00FC7682" w:rsidRPr="0092406A" w:rsidRDefault="0092406A" w:rsidP="001C6AE5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94949"/>
                <w:sz w:val="17"/>
                <w:szCs w:val="17"/>
                <w:lang w:eastAsia="ru-RU"/>
              </w:rPr>
            </w:pPr>
            <w:r w:rsidRPr="0092406A"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  <w:t>Окончание программы. Отправление домой.</w:t>
            </w:r>
          </w:p>
        </w:tc>
      </w:tr>
      <w:tr w:rsidR="00D721EC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b/>
                <w:bCs/>
                <w:color w:val="0D0D0D" w:themeColor="text1" w:themeTint="F2"/>
                <w:sz w:val="22"/>
                <w:szCs w:val="22"/>
              </w:rPr>
              <w:t>Возвращение (ориентировочно):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06:00 - Москва, 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>07:00 – Наро-Фоминск,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07:30 - Обнинск, </w:t>
            </w:r>
          </w:p>
          <w:p w:rsid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 w:rsidRPr="0092406A"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  <w:t xml:space="preserve">09:00 - Калуга, </w:t>
            </w:r>
          </w:p>
          <w:p w:rsidR="0092406A" w:rsidRPr="0092406A" w:rsidRDefault="0092406A" w:rsidP="0092406A">
            <w:pPr>
              <w:pStyle w:val="aa"/>
              <w:spacing w:before="0" w:beforeAutospacing="0" w:after="0" w:afterAutospacing="0"/>
              <w:rPr>
                <w:rFonts w:asciiTheme="majorHAnsi" w:hAnsiTheme="majorHAnsi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D0D0D" w:themeColor="text1" w:themeTint="F2"/>
                <w:sz w:val="22"/>
                <w:szCs w:val="22"/>
              </w:rPr>
              <w:t>11:00 – Тула.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2406A" w:rsidTr="0092406A"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2670" w:type="dxa"/>
            <w:vMerge w:val="restart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5342" w:type="dxa"/>
            <w:gridSpan w:val="2"/>
            <w:vAlign w:val="center"/>
          </w:tcPr>
          <w:p w:rsid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руб./чел.</w:t>
            </w:r>
          </w:p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Варианты программ</w:t>
            </w:r>
          </w:p>
        </w:tc>
      </w:tr>
      <w:tr w:rsidR="0092406A" w:rsidTr="0092406A">
        <w:tc>
          <w:tcPr>
            <w:tcW w:w="2670" w:type="dxa"/>
            <w:vMerge w:val="restart"/>
            <w:vAlign w:val="center"/>
          </w:tcPr>
          <w:p w:rsid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Отель «КЛАССИК»</w:t>
            </w:r>
          </w:p>
          <w:p w:rsidR="0092406A" w:rsidRPr="00FA63CA" w:rsidRDefault="0092406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(ст. м. </w:t>
            </w:r>
            <w:r w:rsidR="00FA63CA"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Площадь Восстания!</w:t>
            </w:r>
            <w:proofErr w:type="gramEnd"/>
          </w:p>
          <w:p w:rsid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ЦЕНТР! </w:t>
            </w: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Невский проспект)</w:t>
            </w:r>
            <w:proofErr w:type="gramEnd"/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Завтрак – расширенный континентальный</w:t>
            </w:r>
          </w:p>
        </w:tc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без 1 обеда и Эрмитажа)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стандарт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   эконом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9 800 руб.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11 190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стандарт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10 100 руб.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11 390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2-х местный комфорт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10 400 руб.</w:t>
            </w:r>
          </w:p>
        </w:tc>
        <w:tc>
          <w:tcPr>
            <w:tcW w:w="2671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11 590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скидка на                доп. место</w:t>
            </w:r>
          </w:p>
        </w:tc>
        <w:tc>
          <w:tcPr>
            <w:tcW w:w="5342" w:type="dxa"/>
            <w:gridSpan w:val="2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150 руб.</w:t>
            </w:r>
          </w:p>
        </w:tc>
      </w:tr>
      <w:tr w:rsidR="0092406A" w:rsidTr="0092406A">
        <w:tc>
          <w:tcPr>
            <w:tcW w:w="2670" w:type="dxa"/>
            <w:vMerge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доплата за 1-й  номер</w:t>
            </w:r>
          </w:p>
        </w:tc>
        <w:tc>
          <w:tcPr>
            <w:tcW w:w="5342" w:type="dxa"/>
            <w:gridSpan w:val="2"/>
            <w:vAlign w:val="center"/>
          </w:tcPr>
          <w:p w:rsidR="0092406A" w:rsidRPr="0092406A" w:rsidRDefault="0092406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</w:tbl>
    <w:p w:rsidR="001C6AE5" w:rsidRDefault="001C6AE5" w:rsidP="00792E0F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FA63CA" w:rsidRPr="0092406A" w:rsidTr="0092406A">
        <w:trPr>
          <w:jc w:val="center"/>
        </w:trPr>
        <w:tc>
          <w:tcPr>
            <w:tcW w:w="2670" w:type="dxa"/>
            <w:vMerge w:val="restart"/>
            <w:vAlign w:val="center"/>
          </w:tcPr>
          <w:p w:rsidR="00FA63C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«ОКТЯБРЬСКАЯ 4*»</w:t>
            </w:r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(ст. м. Площадь </w:t>
            </w: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lastRenderedPageBreak/>
              <w:t>Восстания!</w:t>
            </w:r>
            <w:proofErr w:type="gramEnd"/>
          </w:p>
          <w:p w:rsidR="00FA63CA" w:rsidRPr="00FA63C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 xml:space="preserve">Центр! </w:t>
            </w:r>
            <w:proofErr w:type="gramStart"/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Невский проспект)</w:t>
            </w:r>
            <w:proofErr w:type="gramEnd"/>
          </w:p>
          <w:p w:rsidR="00FA63CA" w:rsidRPr="0092406A" w:rsidRDefault="00FA63CA" w:rsidP="00FA63CA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FA63CA">
              <w:rPr>
                <w:rFonts w:asciiTheme="majorHAnsi" w:eastAsia="Times New Roman" w:hAnsiTheme="majorHAnsi" w:cs="Arial"/>
                <w:bCs/>
                <w:color w:val="0D0D0D" w:themeColor="text1" w:themeTint="F2"/>
                <w:lang w:eastAsia="ru-RU"/>
              </w:rPr>
              <w:t>Завтрак – «шведский стол»</w:t>
            </w: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2-х местный стандарт</w:t>
            </w:r>
          </w:p>
        </w:tc>
        <w:tc>
          <w:tcPr>
            <w:tcW w:w="2671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11 600 руб.</w:t>
            </w:r>
          </w:p>
        </w:tc>
        <w:tc>
          <w:tcPr>
            <w:tcW w:w="2671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12 890 руб.</w:t>
            </w:r>
          </w:p>
        </w:tc>
      </w:tr>
      <w:tr w:rsidR="00FA63CA" w:rsidRPr="0092406A" w:rsidTr="0020338A">
        <w:trPr>
          <w:jc w:val="center"/>
        </w:trPr>
        <w:tc>
          <w:tcPr>
            <w:tcW w:w="2670" w:type="dxa"/>
            <w:vMerge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скидка на доп. место</w:t>
            </w:r>
          </w:p>
        </w:tc>
        <w:tc>
          <w:tcPr>
            <w:tcW w:w="5342" w:type="dxa"/>
            <w:gridSpan w:val="2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300 руб.</w:t>
            </w:r>
          </w:p>
        </w:tc>
      </w:tr>
      <w:tr w:rsidR="00FA63CA" w:rsidRPr="0092406A" w:rsidTr="00E239C0">
        <w:trPr>
          <w:jc w:val="center"/>
        </w:trPr>
        <w:tc>
          <w:tcPr>
            <w:tcW w:w="2670" w:type="dxa"/>
            <w:vMerge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доплата за 1-й номер</w:t>
            </w:r>
          </w:p>
        </w:tc>
        <w:tc>
          <w:tcPr>
            <w:tcW w:w="5342" w:type="dxa"/>
            <w:gridSpan w:val="2"/>
            <w:vAlign w:val="center"/>
          </w:tcPr>
          <w:p w:rsidR="00FA63CA" w:rsidRPr="0092406A" w:rsidRDefault="00FA63CA" w:rsidP="0092406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2 100 руб.</w:t>
            </w:r>
          </w:p>
        </w:tc>
      </w:tr>
    </w:tbl>
    <w:p w:rsidR="0092406A" w:rsidRDefault="00FA63CA" w:rsidP="00FA63CA">
      <w:pPr>
        <w:shd w:val="clear" w:color="auto" w:fill="F3F3F3"/>
        <w:spacing w:before="100" w:beforeAutospacing="1"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Скидка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 школьникам  до 15 лет – 200 рублей.</w:t>
      </w:r>
    </w:p>
    <w:p w:rsidR="00FA63CA" w:rsidRPr="00FA63CA" w:rsidRDefault="00FA63CA" w:rsidP="00FA63CA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Доплата</w:t>
      </w:r>
      <w:r w:rsidRPr="00FA63CA"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> за иностранцев – 1500 руб./чел.</w:t>
      </w:r>
      <w:bookmarkStart w:id="0" w:name="_GoBack"/>
      <w:bookmarkEnd w:id="0"/>
    </w:p>
    <w:p w:rsidR="00FA63CA" w:rsidRPr="00FA63CA" w:rsidRDefault="00FA63CA" w:rsidP="00FA63CA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 w:rsidRPr="00FA63CA">
        <w:rPr>
          <w:rFonts w:asciiTheme="majorHAnsi" w:eastAsia="Times New Roman" w:hAnsiTheme="majorHAnsi" w:cs="Arial"/>
          <w:color w:val="0D0D0D" w:themeColor="text1" w:themeTint="F2"/>
          <w:lang w:eastAsia="ru-RU"/>
        </w:rPr>
        <w:t>проезд на а</w:t>
      </w:r>
      <w:r>
        <w:rPr>
          <w:rFonts w:asciiTheme="majorHAnsi" w:eastAsia="Times New Roman" w:hAnsiTheme="majorHAnsi" w:cs="Arial"/>
          <w:color w:val="0D0D0D" w:themeColor="text1" w:themeTint="F2"/>
          <w:lang w:eastAsia="ru-RU"/>
        </w:rPr>
        <w:t>в</w:t>
      </w:r>
      <w:r w:rsidRPr="00FA63CA">
        <w:rPr>
          <w:rFonts w:asciiTheme="majorHAnsi" w:eastAsia="Times New Roman" w:hAnsiTheme="majorHAnsi" w:cs="Arial"/>
          <w:color w:val="0D0D0D" w:themeColor="text1" w:themeTint="F2"/>
          <w:lang w:eastAsia="ru-RU"/>
        </w:rPr>
        <w:t>тобусе «евро класса», проживание в гостинице, питание по программе, экскурсионное обслуживание по программе, услуги гида-экскурсовода, групповая страховка от несчастного случая.</w:t>
      </w: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D721EC" w:rsidRPr="00D721EC" w:rsidSect="009C38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6A" w:rsidRDefault="0092406A" w:rsidP="00FD68EA">
      <w:pPr>
        <w:spacing w:after="0" w:line="240" w:lineRule="auto"/>
      </w:pPr>
      <w:r>
        <w:separator/>
      </w:r>
    </w:p>
  </w:endnote>
  <w:endnote w:type="continuationSeparator" w:id="0">
    <w:p w:rsidR="0092406A" w:rsidRDefault="0092406A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6A" w:rsidRDefault="009240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6A" w:rsidRDefault="009240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6A" w:rsidRDefault="009240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6A" w:rsidRDefault="0092406A" w:rsidP="00FD68EA">
      <w:pPr>
        <w:spacing w:after="0" w:line="240" w:lineRule="auto"/>
      </w:pPr>
      <w:r>
        <w:separator/>
      </w:r>
    </w:p>
  </w:footnote>
  <w:footnote w:type="continuationSeparator" w:id="0">
    <w:p w:rsidR="0092406A" w:rsidRDefault="0092406A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6A" w:rsidRDefault="009240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6A" w:rsidRDefault="0092406A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2406A" w:rsidRDefault="0092406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2406A" w:rsidRDefault="0092406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92406A" w:rsidRDefault="0092406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92406A" w:rsidRPr="00FD68EA" w:rsidRDefault="0092406A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92406A" w:rsidRPr="00FD68EA" w:rsidRDefault="0092406A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92406A" w:rsidRPr="00FD68EA" w:rsidRDefault="0092406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2406A" w:rsidRPr="00FD68EA" w:rsidRDefault="0092406A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92406A" w:rsidRPr="00FD68EA" w:rsidRDefault="0092406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2406A" w:rsidRPr="00FD68EA" w:rsidRDefault="0092406A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92406A" w:rsidRDefault="0092406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92406A" w:rsidRDefault="0092406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92406A" w:rsidRDefault="0092406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92406A" w:rsidRPr="00FD68EA" w:rsidRDefault="0092406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92406A" w:rsidRPr="00FD68EA" w:rsidRDefault="0092406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92406A" w:rsidRPr="00FD68EA" w:rsidRDefault="0092406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92406A" w:rsidRPr="00FD68EA" w:rsidRDefault="0092406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92406A" w:rsidRPr="00FD68EA" w:rsidRDefault="0092406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92406A" w:rsidRPr="00FD68EA" w:rsidRDefault="0092406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6A" w:rsidRDefault="009240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1C6AE5"/>
    <w:rsid w:val="002A0508"/>
    <w:rsid w:val="003866FC"/>
    <w:rsid w:val="003A3DDB"/>
    <w:rsid w:val="003C5CEF"/>
    <w:rsid w:val="004350AC"/>
    <w:rsid w:val="0047149C"/>
    <w:rsid w:val="006B2C4F"/>
    <w:rsid w:val="007369AA"/>
    <w:rsid w:val="00776014"/>
    <w:rsid w:val="00792E0F"/>
    <w:rsid w:val="00844B2A"/>
    <w:rsid w:val="008D0356"/>
    <w:rsid w:val="0092406A"/>
    <w:rsid w:val="0093794C"/>
    <w:rsid w:val="009C38A9"/>
    <w:rsid w:val="009F7FC3"/>
    <w:rsid w:val="00A620A4"/>
    <w:rsid w:val="00A664F1"/>
    <w:rsid w:val="00BD49B0"/>
    <w:rsid w:val="00C02F6A"/>
    <w:rsid w:val="00C350B5"/>
    <w:rsid w:val="00D50E0D"/>
    <w:rsid w:val="00D721EC"/>
    <w:rsid w:val="00E058D1"/>
    <w:rsid w:val="00E92471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oks.ru/banket-v-gostinice-oktyabrska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ks.ru/banket-v-gostinice-oktyabrskaya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EAD3-9BB3-461C-B473-1CB84422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2018-11-13T10:08:00Z</dcterms:created>
  <dcterms:modified xsi:type="dcterms:W3CDTF">2018-11-13T10:08:00Z</dcterms:modified>
</cp:coreProperties>
</file>